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0" w:before="0" w:line="100" w:lineRule="atLeast"/>
        <w:contextualSpacing w:val="false"/>
        <w:jc w:val="center"/>
      </w:pPr>
      <w:r>
        <w:rPr/>
      </w:r>
    </w:p>
    <w:p>
      <w:pPr>
        <w:pStyle w:val="style0"/>
        <w:jc w:val="right"/>
      </w:pPr>
      <w:r>
        <w:rPr>
          <w:rFonts w:cs="Times New Roman"/>
          <w:sz w:val="24"/>
          <w:szCs w:val="24"/>
        </w:rPr>
        <w:t>Приложение №4</w:t>
      </w:r>
    </w:p>
    <w:p>
      <w:pPr>
        <w:pStyle w:val="style0"/>
        <w:jc w:val="right"/>
      </w:pPr>
      <w:r>
        <w:rPr>
          <w:rFonts w:cs="Times New Roman"/>
          <w:sz w:val="24"/>
          <w:szCs w:val="24"/>
        </w:rPr>
        <w:t>к договору №_________</w:t>
      </w:r>
    </w:p>
    <w:p>
      <w:pPr>
        <w:pStyle w:val="style0"/>
        <w:jc w:val="right"/>
      </w:pPr>
      <w:r>
        <w:rPr>
          <w:rFonts w:cs="Times New Roman"/>
          <w:sz w:val="24"/>
          <w:szCs w:val="24"/>
        </w:rPr>
        <w:t>от «____»____________ 2015 г.</w:t>
      </w:r>
    </w:p>
    <w:p>
      <w:pPr>
        <w:pStyle w:val="style0"/>
        <w:jc w:val="center"/>
      </w:pPr>
      <w:r>
        <w:rPr>
          <w:rFonts w:cs="Times New Roman"/>
          <w:b/>
          <w:sz w:val="32"/>
          <w:szCs w:val="32"/>
        </w:rPr>
        <w:t>Перечень выполняемых работ</w:t>
      </w:r>
    </w:p>
    <w:p>
      <w:pPr>
        <w:pStyle w:val="style0"/>
        <w:jc w:val="both"/>
      </w:pPr>
      <w:r>
        <w:rPr>
          <w:rFonts w:cs="Times New Roman"/>
          <w:b/>
          <w:sz w:val="24"/>
          <w:szCs w:val="24"/>
        </w:rPr>
        <w:t xml:space="preserve">    </w:t>
      </w:r>
      <w:r>
        <w:rPr>
          <w:rFonts w:cs="Times New Roman"/>
          <w:b/>
          <w:sz w:val="24"/>
          <w:szCs w:val="24"/>
        </w:rPr>
        <w:t>Основные требования:</w:t>
      </w:r>
      <w:r>
        <w:rPr>
          <w:rFonts w:cs="Times New Roman"/>
          <w:sz w:val="24"/>
          <w:szCs w:val="24"/>
        </w:rPr>
        <w:t xml:space="preserve"> Открытые горные работы производить на основании проекта оценочных работ с опытно-промышленной добычей на месторождении КызылтуЕрементауского района Акмолинской области.</w:t>
      </w:r>
    </w:p>
    <w:p>
      <w:pPr>
        <w:pStyle w:val="style0"/>
        <w:jc w:val="center"/>
      </w:pPr>
      <w:r>
        <w:rPr>
          <w:rFonts w:cs="Times New Roman"/>
          <w:b/>
          <w:sz w:val="28"/>
          <w:szCs w:val="28"/>
          <w:u w:val="single"/>
        </w:rPr>
        <w:t>Вскрышные работы</w:t>
      </w:r>
    </w:p>
    <w:p>
      <w:pPr>
        <w:pStyle w:val="style48"/>
        <w:numPr>
          <w:ilvl w:val="0"/>
          <w:numId w:val="1"/>
        </w:numPr>
        <w:jc w:val="both"/>
      </w:pPr>
      <w:r>
        <w:rPr>
          <w:rFonts w:ascii="Times New Roman" w:hAnsi="Times New Roman"/>
          <w:sz w:val="24"/>
          <w:szCs w:val="24"/>
        </w:rPr>
        <w:t>Снятие почвенно-растительного слоя со всей площади с помощью бульдозера с последующей погрузкой и вывозкой автосамосвалами в спецотвал</w:t>
      </w:r>
    </w:p>
    <w:p>
      <w:pPr>
        <w:pStyle w:val="style48"/>
        <w:numPr>
          <w:ilvl w:val="0"/>
          <w:numId w:val="1"/>
        </w:numPr>
        <w:jc w:val="both"/>
      </w:pPr>
      <w:r>
        <w:rPr>
          <w:rFonts w:ascii="Times New Roman" w:hAnsi="Times New Roman"/>
          <w:sz w:val="24"/>
          <w:szCs w:val="24"/>
        </w:rPr>
        <w:t>Строительство водоотливной нагорной канавы по периметру карьера</w:t>
      </w:r>
    </w:p>
    <w:p>
      <w:pPr>
        <w:pStyle w:val="style48"/>
        <w:numPr>
          <w:ilvl w:val="0"/>
          <w:numId w:val="1"/>
        </w:numPr>
        <w:jc w:val="both"/>
      </w:pPr>
      <w:r>
        <w:rPr>
          <w:rFonts w:ascii="Times New Roman" w:hAnsi="Times New Roman"/>
          <w:sz w:val="24"/>
          <w:szCs w:val="24"/>
        </w:rPr>
        <w:t>Снятие рыхлой вскрыши мощностью 8 метров посредствам экскаватора и вывоза во внешний отвал</w:t>
      </w:r>
    </w:p>
    <w:p>
      <w:pPr>
        <w:pStyle w:val="style48"/>
        <w:numPr>
          <w:ilvl w:val="0"/>
          <w:numId w:val="1"/>
        </w:numPr>
        <w:jc w:val="both"/>
      </w:pPr>
      <w:r>
        <w:rPr>
          <w:rFonts w:ascii="Times New Roman" w:hAnsi="Times New Roman"/>
          <w:sz w:val="24"/>
          <w:szCs w:val="24"/>
        </w:rPr>
        <w:t>Внутрикарьерные перевозки</w:t>
      </w:r>
    </w:p>
    <w:p>
      <w:pPr>
        <w:pStyle w:val="style48"/>
        <w:numPr>
          <w:ilvl w:val="0"/>
          <w:numId w:val="1"/>
        </w:numPr>
        <w:jc w:val="both"/>
      </w:pPr>
      <w:r>
        <w:rPr>
          <w:rFonts w:ascii="Times New Roman" w:hAnsi="Times New Roman"/>
          <w:sz w:val="24"/>
          <w:szCs w:val="24"/>
        </w:rPr>
        <w:t>Проходка транспортных съездов</w:t>
      </w:r>
    </w:p>
    <w:p>
      <w:pPr>
        <w:pStyle w:val="style48"/>
        <w:numPr>
          <w:ilvl w:val="0"/>
          <w:numId w:val="1"/>
        </w:numPr>
        <w:jc w:val="both"/>
      </w:pPr>
      <w:r>
        <w:rPr>
          <w:rFonts w:ascii="Times New Roman" w:hAnsi="Times New Roman"/>
          <w:sz w:val="24"/>
          <w:szCs w:val="24"/>
        </w:rPr>
        <w:t>бурение взрывных скважин</w:t>
      </w:r>
    </w:p>
    <w:p>
      <w:pPr>
        <w:pStyle w:val="style48"/>
        <w:numPr>
          <w:ilvl w:val="0"/>
          <w:numId w:val="1"/>
        </w:numPr>
        <w:jc w:val="both"/>
      </w:pPr>
      <w:r>
        <w:rPr>
          <w:rFonts w:ascii="Times New Roman" w:hAnsi="Times New Roman"/>
          <w:sz w:val="24"/>
          <w:szCs w:val="24"/>
        </w:rPr>
        <w:t>зарядка скважин и их взрывание</w:t>
      </w:r>
    </w:p>
    <w:p>
      <w:pPr>
        <w:pStyle w:val="style48"/>
        <w:numPr>
          <w:ilvl w:val="0"/>
          <w:numId w:val="1"/>
        </w:numPr>
        <w:jc w:val="both"/>
      </w:pPr>
      <w:r>
        <w:rPr>
          <w:rFonts w:ascii="Times New Roman" w:hAnsi="Times New Roman"/>
          <w:sz w:val="24"/>
          <w:szCs w:val="24"/>
        </w:rPr>
        <w:t xml:space="preserve">Выемка взорванных вскрышных пород с погрузкой их в автосамосвалы и вывозка на отвал (до 1,0 км). </w:t>
      </w:r>
    </w:p>
    <w:p>
      <w:pPr>
        <w:pStyle w:val="style48"/>
        <w:numPr>
          <w:ilvl w:val="0"/>
          <w:numId w:val="1"/>
        </w:numPr>
        <w:jc w:val="both"/>
      </w:pPr>
      <w:r>
        <w:rPr>
          <w:rFonts w:ascii="Times New Roman" w:hAnsi="Times New Roman"/>
          <w:sz w:val="24"/>
          <w:szCs w:val="24"/>
        </w:rPr>
        <w:t>Прием вскрышных пород на отвале</w:t>
      </w:r>
    </w:p>
    <w:p>
      <w:pPr>
        <w:pStyle w:val="style48"/>
        <w:numPr>
          <w:ilvl w:val="0"/>
          <w:numId w:val="1"/>
        </w:numPr>
        <w:jc w:val="both"/>
      </w:pPr>
      <w:r>
        <w:rPr>
          <w:rFonts w:ascii="Times New Roman" w:hAnsi="Times New Roman"/>
          <w:sz w:val="24"/>
          <w:szCs w:val="24"/>
        </w:rPr>
        <w:t>Строительство и поддержка внутрикарьерных технологических автодорог</w:t>
      </w:r>
    </w:p>
    <w:p>
      <w:pPr>
        <w:pStyle w:val="style48"/>
        <w:numPr>
          <w:ilvl w:val="0"/>
          <w:numId w:val="1"/>
        </w:numPr>
        <w:jc w:val="both"/>
      </w:pPr>
      <w:r>
        <w:rPr>
          <w:rFonts w:ascii="Times New Roman" w:hAnsi="Times New Roman"/>
          <w:sz w:val="24"/>
          <w:szCs w:val="24"/>
        </w:rPr>
        <w:t>Полив автодорог в теплое время года</w:t>
      </w:r>
    </w:p>
    <w:p>
      <w:pPr>
        <w:pStyle w:val="style0"/>
        <w:jc w:val="center"/>
      </w:pPr>
      <w:r>
        <w:rPr>
          <w:b/>
          <w:sz w:val="28"/>
          <w:szCs w:val="28"/>
          <w:u w:val="single"/>
        </w:rPr>
        <w:t>Добычные работы</w:t>
      </w:r>
    </w:p>
    <w:p>
      <w:pPr>
        <w:pStyle w:val="style48"/>
        <w:numPr>
          <w:ilvl w:val="0"/>
          <w:numId w:val="2"/>
        </w:numPr>
        <w:jc w:val="both"/>
      </w:pPr>
      <w:r>
        <w:rPr>
          <w:rFonts w:ascii="Times New Roman" w:hAnsi="Times New Roman"/>
          <w:sz w:val="24"/>
          <w:szCs w:val="24"/>
        </w:rPr>
        <w:t>Выемка взорванной окисленной руды, погрузка в автосамосвалы и транспортировка на отвал окисленных руд или транспортировка до мест погрузки руды</w:t>
      </w:r>
    </w:p>
    <w:p>
      <w:pPr>
        <w:pStyle w:val="style48"/>
        <w:numPr>
          <w:ilvl w:val="0"/>
          <w:numId w:val="2"/>
        </w:numPr>
        <w:jc w:val="both"/>
      </w:pPr>
      <w:r>
        <w:rPr>
          <w:rFonts w:ascii="Times New Roman" w:hAnsi="Times New Roman"/>
          <w:sz w:val="24"/>
          <w:szCs w:val="24"/>
        </w:rPr>
        <w:t>бурени взрывных скважин</w:t>
      </w:r>
    </w:p>
    <w:p>
      <w:pPr>
        <w:pStyle w:val="style48"/>
        <w:numPr>
          <w:ilvl w:val="0"/>
          <w:numId w:val="2"/>
        </w:numPr>
        <w:jc w:val="both"/>
      </w:pPr>
      <w:r>
        <w:rPr>
          <w:rFonts w:ascii="Times New Roman" w:hAnsi="Times New Roman"/>
          <w:sz w:val="24"/>
          <w:szCs w:val="24"/>
        </w:rPr>
        <w:t>зарядка скважин и их взрывание</w:t>
      </w:r>
    </w:p>
    <w:p>
      <w:pPr>
        <w:pStyle w:val="style48"/>
        <w:numPr>
          <w:ilvl w:val="0"/>
          <w:numId w:val="2"/>
        </w:numPr>
        <w:jc w:val="both"/>
      </w:pPr>
      <w:r>
        <w:rPr>
          <w:rFonts w:ascii="Times New Roman" w:hAnsi="Times New Roman"/>
          <w:sz w:val="24"/>
          <w:szCs w:val="24"/>
        </w:rPr>
        <w:t>Селективная выемка взорванной сульфидной руды, погрузка в автосамосвалы и транспортировка до места погрузки руды</w:t>
      </w:r>
    </w:p>
    <w:p>
      <w:pPr>
        <w:pStyle w:val="style48"/>
        <w:numPr>
          <w:ilvl w:val="0"/>
          <w:numId w:val="2"/>
        </w:numPr>
        <w:jc w:val="both"/>
      </w:pPr>
      <w:r>
        <w:rPr>
          <w:rFonts w:ascii="Times New Roman" w:hAnsi="Times New Roman"/>
          <w:sz w:val="24"/>
          <w:szCs w:val="24"/>
        </w:rPr>
        <w:t xml:space="preserve">Селективная выемка взорванной забалансовой сульфидной руды, погрузка в автосамосвалы и транспортировка на отвал забалансовых руд или до места погрузки руды </w:t>
      </w:r>
    </w:p>
    <w:p>
      <w:pPr>
        <w:pStyle w:val="style0"/>
        <w:jc w:val="center"/>
      </w:pPr>
      <w:r>
        <w:rPr>
          <w:b/>
          <w:sz w:val="28"/>
          <w:szCs w:val="28"/>
          <w:u w:val="single"/>
        </w:rPr>
        <w:t>Погрузочные работы</w:t>
      </w:r>
    </w:p>
    <w:p>
      <w:pPr>
        <w:pStyle w:val="style48"/>
        <w:numPr>
          <w:ilvl w:val="0"/>
          <w:numId w:val="3"/>
        </w:numPr>
        <w:jc w:val="both"/>
      </w:pPr>
      <w:r>
        <w:rPr>
          <w:rFonts w:ascii="Times New Roman" w:hAnsi="Times New Roman"/>
          <w:sz w:val="24"/>
          <w:szCs w:val="24"/>
        </w:rPr>
        <w:t>Прием сульфидной и окисленной руды на рудном складе</w:t>
      </w:r>
    </w:p>
    <w:p>
      <w:pPr>
        <w:pStyle w:val="style48"/>
        <w:numPr>
          <w:ilvl w:val="0"/>
          <w:numId w:val="3"/>
        </w:numPr>
        <w:jc w:val="both"/>
      </w:pPr>
      <w:r>
        <w:rPr>
          <w:rFonts w:ascii="Times New Roman" w:hAnsi="Times New Roman"/>
          <w:sz w:val="24"/>
          <w:szCs w:val="24"/>
        </w:rPr>
        <w:t>Шихтовка сульфидной и окисленной руды и укладка ее в штабеля</w:t>
      </w:r>
    </w:p>
    <w:p>
      <w:pPr>
        <w:pStyle w:val="style48"/>
        <w:numPr>
          <w:ilvl w:val="0"/>
          <w:numId w:val="3"/>
        </w:numPr>
        <w:jc w:val="both"/>
      </w:pPr>
      <w:r>
        <w:rPr>
          <w:rFonts w:ascii="Times New Roman" w:hAnsi="Times New Roman"/>
          <w:sz w:val="24"/>
          <w:szCs w:val="24"/>
        </w:rPr>
        <w:t>Внутренние перемещения руды на складах готовой продукции</w:t>
      </w:r>
    </w:p>
    <w:p>
      <w:pPr>
        <w:pStyle w:val="style48"/>
        <w:numPr>
          <w:ilvl w:val="0"/>
          <w:numId w:val="3"/>
        </w:numPr>
        <w:jc w:val="both"/>
      </w:pPr>
      <w:r>
        <w:rPr>
          <w:rFonts w:ascii="Times New Roman" w:hAnsi="Times New Roman"/>
          <w:sz w:val="24"/>
          <w:szCs w:val="24"/>
        </w:rPr>
        <w:t>Погрузка сульфидной руды на складе готовой продукции в ж.д. вагоны</w:t>
      </w:r>
    </w:p>
    <w:p>
      <w:pPr>
        <w:pStyle w:val="style48"/>
        <w:numPr>
          <w:ilvl w:val="0"/>
          <w:numId w:val="3"/>
        </w:numPr>
        <w:jc w:val="both"/>
      </w:pPr>
      <w:r>
        <w:rPr>
          <w:rFonts w:ascii="Times New Roman" w:hAnsi="Times New Roman"/>
          <w:sz w:val="24"/>
          <w:szCs w:val="24"/>
        </w:rPr>
        <w:t>Дозировка вагонов</w:t>
      </w:r>
    </w:p>
    <w:p>
      <w:pPr>
        <w:pStyle w:val="style0"/>
        <w:jc w:val="center"/>
      </w:pPr>
      <w:r>
        <w:rPr>
          <w:b/>
          <w:sz w:val="28"/>
          <w:szCs w:val="28"/>
        </w:rPr>
        <w:t>Технология горных работ и необходимое оборудование</w:t>
      </w:r>
    </w:p>
    <w:p>
      <w:pPr>
        <w:pStyle w:val="style0"/>
        <w:jc w:val="center"/>
      </w:pPr>
      <w:r>
        <w:rPr>
          <w:b/>
          <w:sz w:val="28"/>
          <w:szCs w:val="28"/>
          <w:u w:val="single"/>
        </w:rPr>
        <w:t>Горно-капитальные работы</w:t>
      </w:r>
    </w:p>
    <w:p>
      <w:pPr>
        <w:pStyle w:val="style0"/>
        <w:jc w:val="both"/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>В состав ГКР входят: строительство нагорной водоотливной канавы, проходка транспортных съездов на горизонт, удаление первоначальной вскрыши.</w:t>
      </w:r>
    </w:p>
    <w:p>
      <w:pPr>
        <w:pStyle w:val="style0"/>
        <w:jc w:val="center"/>
      </w:pPr>
      <w:r>
        <w:rPr>
          <w:b/>
          <w:bCs/>
          <w:sz w:val="28"/>
          <w:szCs w:val="28"/>
          <w:u w:val="single"/>
        </w:rPr>
        <w:t>Буровзрывные работы</w:t>
      </w:r>
    </w:p>
    <w:p>
      <w:pPr>
        <w:pStyle w:val="style0"/>
        <w:jc w:val="both"/>
      </w:pPr>
      <w:r>
        <w:rPr>
          <w:b w:val="false"/>
          <w:bCs w:val="false"/>
          <w:sz w:val="24"/>
          <w:szCs w:val="24"/>
          <w:u w:val="none"/>
        </w:rPr>
        <w:tab/>
        <w:t>Добычу руды и выемку вскрышных пород по коренным породам в карьере производить с применением БВР (буровзрывных работ)</w:t>
      </w:r>
    </w:p>
    <w:p>
      <w:pPr>
        <w:pStyle w:val="style0"/>
        <w:jc w:val="both"/>
      </w:pPr>
      <w:r>
        <w:rPr>
          <w:b w:val="false"/>
          <w:bCs w:val="false"/>
          <w:sz w:val="24"/>
          <w:szCs w:val="24"/>
          <w:u w:val="none"/>
        </w:rPr>
        <w:t>Максимальный линейный размер куска руды не более 300 мм и породы не должен превышать 800 мм. Средний выход негабаритных кусков согласно нормам технологического проектирования (ВНТП-35-86) — не должен превышать 5% от общего объема взрываемой горной массы в целике. Для дробления негабарита рекомендуется использовать один перфоратор типа ПП63В2 с компрессорной станцией или бутобой. Доставку ВМ к местам производства взрывных работ, зарядку и забойку скважин производить в спецавтомашинах.  Взрывоопасная зона рассчитана в соответствии с «Едиными правилами безопасности при взрывных работах» и составила для людей — 250 м, для машин и механизмов — 13- м.</w:t>
      </w:r>
    </w:p>
    <w:p>
      <w:pPr>
        <w:pStyle w:val="style0"/>
        <w:jc w:val="center"/>
      </w:pPr>
      <w:r>
        <w:rPr>
          <w:b/>
          <w:sz w:val="28"/>
          <w:szCs w:val="28"/>
          <w:u w:val="single"/>
        </w:rPr>
        <w:t>Вскрышные и добычные работы</w:t>
      </w:r>
    </w:p>
    <w:p>
      <w:pPr>
        <w:pStyle w:val="style0"/>
        <w:jc w:val="both"/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Разработку вскрышных пород производить экскаватором с погрузкой в автосамосвалы и с вывозкой их во внешние отвалы. Для создания нормальных условий при выемке руды выполнять опережение вскрышных работ перед добычными в один квартал. За этот период  пробурить необходимое количество взрывных скважин и подготовить фронт работ для поддержания рабочего объема добычи руды. </w:t>
      </w:r>
    </w:p>
    <w:p>
      <w:pPr>
        <w:pStyle w:val="style0"/>
        <w:jc w:val="both"/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>На вспомогательных работах используются бульдозера необходимой мощности.</w:t>
      </w:r>
    </w:p>
    <w:p>
      <w:pPr>
        <w:pStyle w:val="style0"/>
        <w:jc w:val="center"/>
      </w:pPr>
      <w:r>
        <w:rPr>
          <w:b/>
          <w:sz w:val="28"/>
          <w:szCs w:val="28"/>
          <w:u w:val="single"/>
        </w:rPr>
        <w:t>Отвальное хозяйства</w:t>
      </w:r>
    </w:p>
    <w:p>
      <w:pPr>
        <w:pStyle w:val="style0"/>
        <w:jc w:val="both"/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Снятие почвенно-растительного слоя (ПРС) производиться на всех площадях нарушенных земель и складирования горной массы, бульдозерами с вывозом в спецотвал.  Спецотвал ПРС отсыпать в 1 ярус высотой в 5м на северо-запад от карьера. Площадь спецотвала составит 8 680 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(0,87га).  </w:t>
      </w:r>
    </w:p>
    <w:p>
      <w:pPr>
        <w:pStyle w:val="style0"/>
        <w:jc w:val="both"/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Объем рыхлых вскрышных пород (суглинки, супеси) средней мощностью 7м. Составит 43 630 тыс. 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и подлежит вывозке во внешний отвал на южном борту карьера. Отвал отсыпать в 2 яруса, высота каждого яруса 10м. Площадь отвала составит 3,066 га.</w:t>
      </w:r>
    </w:p>
    <w:p>
      <w:pPr>
        <w:pStyle w:val="style0"/>
        <w:jc w:val="both"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Отвалообразование двухъярусное. Способ Отвалообразования – бульдозерный.</w:t>
      </w:r>
    </w:p>
    <w:p>
      <w:pPr>
        <w:pStyle w:val="style0"/>
        <w:jc w:val="both"/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>Вдоль верхней бровки отвала оставлять предохранительный вал высотой не менее 0.7 м и создать обратный уклон не менее 3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.</w:t>
      </w:r>
    </w:p>
    <w:p>
      <w:pPr>
        <w:pStyle w:val="style0"/>
        <w:jc w:val="center"/>
      </w:pPr>
      <w:r>
        <w:rPr>
          <w:b/>
          <w:sz w:val="28"/>
          <w:szCs w:val="28"/>
        </w:rPr>
        <w:t>Вспомогательные работы</w:t>
      </w:r>
    </w:p>
    <w:p>
      <w:pPr>
        <w:pStyle w:val="style0"/>
        <w:jc w:val="both"/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Для выполнения работ по зачистке кровли рудного тела, рабочих площадок, устройства внутрикарьерных подъездных автодорог к карьерному оборудованию, планировать бульдозером, занятом на эксплуатационных работах.</w:t>
      </w:r>
    </w:p>
    <w:p>
      <w:pPr>
        <w:pStyle w:val="style48"/>
        <w:numPr>
          <w:ilvl w:val="0"/>
          <w:numId w:val="5"/>
        </w:numPr>
        <w:jc w:val="both"/>
      </w:pPr>
      <w:r>
        <w:rPr>
          <w:rFonts w:ascii="Times New Roman" w:hAnsi="Times New Roman"/>
          <w:sz w:val="24"/>
          <w:szCs w:val="24"/>
        </w:rPr>
        <w:t>По окончанию выемки горной массы, производить зачистку и планировку площадки под бурение;</w:t>
      </w:r>
    </w:p>
    <w:p>
      <w:pPr>
        <w:pStyle w:val="style48"/>
        <w:numPr>
          <w:ilvl w:val="0"/>
          <w:numId w:val="5"/>
        </w:numPr>
        <w:jc w:val="both"/>
      </w:pPr>
      <w:r>
        <w:rPr>
          <w:rFonts w:ascii="Times New Roman" w:hAnsi="Times New Roman"/>
          <w:sz w:val="24"/>
          <w:szCs w:val="24"/>
        </w:rPr>
        <w:t>Проводить работы по зачистке и углублению зумпфа карьерного водоотлива;</w:t>
      </w:r>
    </w:p>
    <w:p>
      <w:pPr>
        <w:pStyle w:val="style48"/>
        <w:numPr>
          <w:ilvl w:val="0"/>
          <w:numId w:val="5"/>
        </w:numPr>
        <w:jc w:val="both"/>
      </w:pPr>
      <w:r>
        <w:rPr>
          <w:rFonts w:ascii="Times New Roman" w:hAnsi="Times New Roman"/>
          <w:sz w:val="24"/>
          <w:szCs w:val="24"/>
        </w:rPr>
        <w:t>В паводковый период производить зачистку бортов карьера ото льда и снега;</w:t>
      </w:r>
    </w:p>
    <w:p>
      <w:pPr>
        <w:pStyle w:val="style48"/>
        <w:numPr>
          <w:ilvl w:val="0"/>
          <w:numId w:val="5"/>
        </w:numPr>
        <w:jc w:val="both"/>
      </w:pPr>
      <w:r>
        <w:rPr>
          <w:rFonts w:ascii="Times New Roman" w:hAnsi="Times New Roman"/>
          <w:sz w:val="24"/>
          <w:szCs w:val="24"/>
        </w:rPr>
        <w:t>Содержать в исправном состоянии подъездные дороги на месторождении;</w:t>
      </w:r>
    </w:p>
    <w:p>
      <w:pPr>
        <w:pStyle w:val="style48"/>
        <w:numPr>
          <w:ilvl w:val="0"/>
          <w:numId w:val="5"/>
        </w:numPr>
        <w:jc w:val="both"/>
      </w:pPr>
      <w:r>
        <w:rPr>
          <w:rFonts w:ascii="Times New Roman" w:hAnsi="Times New Roman"/>
          <w:sz w:val="24"/>
          <w:szCs w:val="24"/>
        </w:rPr>
        <w:t>Содержание и обслуживание складов, товарной руды и погрузочной площадки;</w:t>
      </w:r>
    </w:p>
    <w:p>
      <w:pPr>
        <w:pStyle w:val="style48"/>
        <w:numPr>
          <w:ilvl w:val="0"/>
          <w:numId w:val="5"/>
        </w:numPr>
        <w:jc w:val="both"/>
      </w:pPr>
      <w:r>
        <w:rPr>
          <w:rFonts w:ascii="Times New Roman" w:hAnsi="Times New Roman"/>
          <w:sz w:val="24"/>
          <w:szCs w:val="24"/>
        </w:rPr>
        <w:t>Очистка дороги п.Кызылту-Карьер от снега в зимний период;</w:t>
      </w:r>
    </w:p>
    <w:p>
      <w:pPr>
        <w:pStyle w:val="style48"/>
        <w:numPr>
          <w:ilvl w:val="0"/>
          <w:numId w:val="5"/>
        </w:numPr>
        <w:jc w:val="both"/>
      </w:pPr>
      <w:r>
        <w:rPr>
          <w:rFonts w:ascii="Times New Roman" w:hAnsi="Times New Roman"/>
          <w:sz w:val="24"/>
          <w:szCs w:val="24"/>
        </w:rPr>
        <w:t>Оказание помощи населению при чрезвычайных ситуациях.</w:t>
      </w:r>
    </w:p>
    <w:p>
      <w:pPr>
        <w:pStyle w:val="style0"/>
        <w:jc w:val="both"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Предусмотреть автогрейдер, поливочные машины. Заправка ГСМ бульдозеров, автосамосвалов и др. нуждающегося в этом оборудовании осуществлять на рабочих местах с помощью механизированных заправочных агрегатов. Предусмотреть передвижную мастерскую. </w:t>
      </w:r>
    </w:p>
    <w:p>
      <w:pPr>
        <w:pStyle w:val="style0"/>
        <w:jc w:val="both"/>
      </w:pP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Доставку людей, различных хозяйственных грузов и оборудования осуществлять специализированным автотранспортом. </w:t>
      </w:r>
    </w:p>
    <w:p>
      <w:pPr>
        <w:pStyle w:val="style0"/>
        <w:jc w:val="both"/>
      </w:pPr>
      <w:r>
        <w:rPr>
          <w:b/>
          <w:sz w:val="24"/>
          <w:szCs w:val="24"/>
        </w:rPr>
        <w:t xml:space="preserve">Необходимо предусмотреть: </w:t>
      </w:r>
    </w:p>
    <w:p>
      <w:pPr>
        <w:pStyle w:val="style48"/>
        <w:numPr>
          <w:ilvl w:val="0"/>
          <w:numId w:val="4"/>
        </w:numPr>
        <w:jc w:val="both"/>
      </w:pPr>
      <w:r>
        <w:rPr>
          <w:rFonts w:ascii="Times New Roman" w:hAnsi="Times New Roman"/>
          <w:sz w:val="24"/>
          <w:szCs w:val="24"/>
        </w:rPr>
        <w:t>Для получения опережающих оперативных анализов проб, своевременное опробование и по отрабатываемым и планируемым блокам (эксплуатационную разведку)</w:t>
      </w:r>
    </w:p>
    <w:p>
      <w:pPr>
        <w:pStyle w:val="style48"/>
        <w:numPr>
          <w:ilvl w:val="0"/>
          <w:numId w:val="4"/>
        </w:numPr>
        <w:jc w:val="both"/>
      </w:pPr>
      <w:r>
        <w:rPr>
          <w:rFonts w:ascii="Times New Roman" w:hAnsi="Times New Roman"/>
          <w:sz w:val="24"/>
          <w:szCs w:val="24"/>
        </w:rPr>
        <w:t>Выполнение календарного графика отработки карьера (годового, месячного, суточного)</w:t>
      </w:r>
    </w:p>
    <w:p>
      <w:pPr>
        <w:pStyle w:val="style48"/>
        <w:numPr>
          <w:ilvl w:val="0"/>
          <w:numId w:val="4"/>
        </w:numPr>
        <w:jc w:val="both"/>
      </w:pPr>
      <w:r>
        <w:rPr>
          <w:rFonts w:ascii="Times New Roman" w:hAnsi="Times New Roman"/>
          <w:sz w:val="24"/>
          <w:szCs w:val="24"/>
        </w:rPr>
        <w:t>Ведение и соблюдение необходимой нормативно-технической документации (паспорта забоев, паспорта отвалов, схему автодорог и др.)</w:t>
      </w:r>
    </w:p>
    <w:p>
      <w:pPr>
        <w:pStyle w:val="style48"/>
        <w:ind w:hanging="0" w:left="973" w:right="0"/>
        <w:jc w:val="center"/>
      </w:pPr>
      <w:r>
        <w:rPr/>
      </w:r>
    </w:p>
    <w:p>
      <w:pPr>
        <w:pStyle w:val="style48"/>
        <w:ind w:hanging="0" w:left="973" w:right="0"/>
        <w:jc w:val="center"/>
      </w:pPr>
      <w:r>
        <w:rPr>
          <w:rFonts w:ascii="Times New Roman" w:hAnsi="Times New Roman"/>
          <w:b/>
          <w:sz w:val="28"/>
          <w:szCs w:val="28"/>
        </w:rPr>
        <w:t>Энергоснабжение</w:t>
      </w:r>
    </w:p>
    <w:p>
      <w:pPr>
        <w:pStyle w:val="style48"/>
        <w:ind w:hanging="0" w:left="973" w:right="0"/>
        <w:jc w:val="both"/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Энергоснабжение предполагается за счет собственных возможностей подрядных организаций.</w:t>
      </w:r>
    </w:p>
    <w:p>
      <w:pPr>
        <w:pStyle w:val="style48"/>
        <w:ind w:hanging="0" w:left="973" w:right="0"/>
        <w:jc w:val="center"/>
      </w:pPr>
      <w:r>
        <w:rPr>
          <w:rFonts w:ascii="Times New Roman" w:hAnsi="Times New Roman"/>
          <w:b/>
          <w:bCs/>
          <w:sz w:val="28"/>
          <w:szCs w:val="28"/>
          <w:u w:val="single"/>
        </w:rPr>
        <w:t>Перевозка руды</w:t>
      </w:r>
    </w:p>
    <w:p>
      <w:pPr>
        <w:pStyle w:val="style48"/>
        <w:ind w:hanging="0" w:left="0" w:right="0"/>
        <w:jc w:val="both"/>
      </w:pPr>
      <w:r>
        <w:rPr>
          <w:rFonts w:ascii="Times New Roman" w:hAnsi="Times New Roman"/>
          <w:b w:val="false"/>
          <w:bCs w:val="false"/>
          <w:sz w:val="24"/>
          <w:szCs w:val="24"/>
          <w:u w:val="none"/>
        </w:rPr>
        <w:t>Перевозку руды в арендованных железнодорожных вагонах с примыкания Кызылту до места разгрузки ГМЗ г. Степногорска необходимо осуществлять с учетом:</w:t>
      </w:r>
    </w:p>
    <w:p>
      <w:pPr>
        <w:pStyle w:val="style48"/>
        <w:numPr>
          <w:ilvl w:val="0"/>
          <w:numId w:val="8"/>
        </w:numPr>
        <w:spacing w:after="0" w:before="0"/>
        <w:contextualSpacing w:val="false"/>
      </w:pPr>
      <w:r>
        <w:rPr>
          <w:rFonts w:ascii="Times New Roman" w:hAnsi="Times New Roman"/>
          <w:b w:val="false"/>
          <w:bCs w:val="false"/>
          <w:sz w:val="24"/>
          <w:szCs w:val="24"/>
          <w:u w:val="none"/>
        </w:rPr>
        <w:t>аренда вагонов;</w:t>
      </w:r>
    </w:p>
    <w:p>
      <w:pPr>
        <w:pStyle w:val="style48"/>
        <w:numPr>
          <w:ilvl w:val="0"/>
          <w:numId w:val="8"/>
        </w:numPr>
        <w:spacing w:after="0" w:before="0"/>
        <w:contextualSpacing w:val="false"/>
      </w:pPr>
      <w:r>
        <w:rPr>
          <w:rFonts w:ascii="Times New Roman" w:hAnsi="Times New Roman"/>
          <w:b w:val="false"/>
          <w:bCs w:val="false"/>
          <w:sz w:val="24"/>
          <w:szCs w:val="24"/>
          <w:u w:val="none"/>
        </w:rPr>
        <w:t>аренда локомотивной тяги;</w:t>
      </w:r>
    </w:p>
    <w:p>
      <w:pPr>
        <w:pStyle w:val="style48"/>
        <w:numPr>
          <w:ilvl w:val="0"/>
          <w:numId w:val="8"/>
        </w:numPr>
        <w:spacing w:after="0" w:before="0"/>
        <w:contextualSpacing w:val="false"/>
      </w:pPr>
      <w:r>
        <w:rPr>
          <w:rFonts w:ascii="Times New Roman" w:hAnsi="Times New Roman"/>
          <w:b w:val="false"/>
          <w:bCs w:val="false"/>
          <w:sz w:val="24"/>
          <w:szCs w:val="24"/>
          <w:u w:val="none"/>
        </w:rPr>
        <w:t>подача-уборка вагонов и перевозка (ТехПД)</w:t>
      </w:r>
    </w:p>
    <w:p>
      <w:pPr>
        <w:pStyle w:val="style48"/>
        <w:numPr>
          <w:ilvl w:val="0"/>
          <w:numId w:val="8"/>
        </w:numPr>
        <w:spacing w:after="0" w:before="0"/>
        <w:contextualSpacing w:val="false"/>
      </w:pPr>
      <w:r>
        <w:rPr>
          <w:rFonts w:ascii="Times New Roman" w:hAnsi="Times New Roman"/>
          <w:b w:val="false"/>
          <w:bCs w:val="false"/>
          <w:sz w:val="24"/>
          <w:szCs w:val="24"/>
          <w:u w:val="none"/>
        </w:rPr>
        <w:t>взвешивание вагонов;</w:t>
      </w:r>
    </w:p>
    <w:p>
      <w:pPr>
        <w:pStyle w:val="style48"/>
        <w:numPr>
          <w:ilvl w:val="0"/>
          <w:numId w:val="8"/>
        </w:numPr>
        <w:spacing w:after="0" w:before="0"/>
        <w:contextualSpacing w:val="false"/>
      </w:pPr>
      <w:r>
        <w:rPr>
          <w:rFonts w:ascii="Times New Roman" w:hAnsi="Times New Roman"/>
          <w:b w:val="false"/>
          <w:bCs w:val="false"/>
          <w:sz w:val="24"/>
          <w:szCs w:val="24"/>
          <w:u w:val="none"/>
        </w:rPr>
        <w:t>оформление приемо-отправочных документов;</w:t>
      </w:r>
    </w:p>
    <w:p>
      <w:pPr>
        <w:pStyle w:val="style48"/>
        <w:numPr>
          <w:ilvl w:val="0"/>
          <w:numId w:val="8"/>
        </w:numPr>
        <w:spacing w:after="0" w:before="0"/>
        <w:contextualSpacing w:val="false"/>
      </w:pPr>
      <w:r>
        <w:rPr>
          <w:rFonts w:ascii="Times New Roman" w:hAnsi="Times New Roman"/>
          <w:b w:val="false"/>
          <w:bCs w:val="false"/>
          <w:sz w:val="24"/>
          <w:szCs w:val="24"/>
          <w:u w:val="none"/>
        </w:rPr>
        <w:t>коммерческий осмотр вагонов;</w:t>
      </w:r>
    </w:p>
    <w:p>
      <w:pPr>
        <w:pStyle w:val="style48"/>
        <w:spacing w:after="0" w:before="0"/>
        <w:ind w:hanging="0" w:left="0" w:right="0"/>
        <w:contextualSpacing w:val="false"/>
      </w:pPr>
      <w:r>
        <w:rPr/>
      </w:r>
    </w:p>
    <w:p>
      <w:pPr>
        <w:pStyle w:val="style48"/>
        <w:spacing w:after="0" w:before="0"/>
        <w:ind w:hanging="0" w:left="0" w:right="0"/>
        <w:contextualSpacing w:val="false"/>
        <w:jc w:val="center"/>
      </w:pPr>
      <w:r>
        <w:rPr>
          <w:rFonts w:ascii="Times New Roman" w:hAnsi="Times New Roman"/>
          <w:b/>
          <w:bCs/>
          <w:sz w:val="24"/>
          <w:szCs w:val="24"/>
          <w:u w:val="none"/>
        </w:rPr>
        <w:t>Отгрузка и перевозка медного концентрата</w:t>
      </w:r>
    </w:p>
    <w:p>
      <w:pPr>
        <w:pStyle w:val="style48"/>
        <w:spacing w:after="0" w:before="0"/>
        <w:ind w:hanging="0" w:left="0" w:right="0"/>
        <w:contextualSpacing w:val="false"/>
        <w:jc w:val="both"/>
      </w:pPr>
      <w:r>
        <w:rPr>
          <w:rFonts w:ascii="Times New Roman" w:hAnsi="Times New Roman"/>
          <w:b w:val="false"/>
          <w:bCs w:val="false"/>
          <w:sz w:val="24"/>
          <w:szCs w:val="24"/>
          <w:u w:val="none"/>
        </w:rPr>
        <w:t>- Погрузка медного концентрата в железнодорожные вагоны;</w:t>
      </w:r>
    </w:p>
    <w:p>
      <w:pPr>
        <w:pStyle w:val="style48"/>
        <w:spacing w:after="0" w:before="0"/>
        <w:ind w:hanging="0" w:left="0" w:right="0"/>
        <w:contextualSpacing w:val="false"/>
        <w:jc w:val="both"/>
      </w:pPr>
      <w:r>
        <w:rPr>
          <w:rFonts w:ascii="Times New Roman" w:hAnsi="Times New Roman"/>
          <w:b w:val="false"/>
          <w:bCs w:val="false"/>
          <w:sz w:val="24"/>
          <w:szCs w:val="24"/>
          <w:u w:val="none"/>
        </w:rPr>
        <w:t xml:space="preserve">Перевозка медного концентрата до станции Защита. </w:t>
      </w:r>
    </w:p>
    <w:p>
      <w:pPr>
        <w:pStyle w:val="style48"/>
        <w:spacing w:after="0" w:before="0"/>
        <w:contextualSpacing w:val="false"/>
      </w:pPr>
      <w:r>
        <w:rPr>
          <w:b w:val="false"/>
          <w:bCs w:val="false"/>
          <w:sz w:val="24"/>
          <w:szCs w:val="24"/>
          <w:u w:val="none"/>
        </w:rPr>
      </w:r>
    </w:p>
    <w:p>
      <w:pPr>
        <w:pStyle w:val="style48"/>
        <w:spacing w:after="0" w:before="0"/>
        <w:ind w:hanging="0" w:left="973" w:right="0"/>
        <w:contextualSpacing w:val="false"/>
        <w:jc w:val="center"/>
      </w:pPr>
      <w:r>
        <w:rPr>
          <w:rFonts w:ascii="Times New Roman" w:hAnsi="Times New Roman"/>
          <w:b/>
          <w:bCs/>
          <w:sz w:val="28"/>
          <w:szCs w:val="28"/>
          <w:u w:val="single"/>
        </w:rPr>
        <w:t>Переработка молибден-медных руд с комплексом ее исследования с разработкой регламента обогащения и предоставлением отчета.</w:t>
      </w:r>
    </w:p>
    <w:p>
      <w:pPr>
        <w:pStyle w:val="style48"/>
        <w:numPr>
          <w:ilvl w:val="0"/>
          <w:numId w:val="6"/>
        </w:numPr>
        <w:jc w:val="both"/>
      </w:pPr>
      <w:r>
        <w:rPr>
          <w:rFonts w:ascii="Times New Roman" w:hAnsi="Times New Roman"/>
          <w:b w:val="false"/>
          <w:bCs w:val="false"/>
          <w:sz w:val="24"/>
          <w:szCs w:val="24"/>
          <w:u w:val="none"/>
        </w:rPr>
        <w:t>Подрядчик несет ответственность за размещение отходов переработки на собственных объектах.</w:t>
      </w:r>
    </w:p>
    <w:p>
      <w:pPr>
        <w:pStyle w:val="style48"/>
        <w:numPr>
          <w:ilvl w:val="0"/>
          <w:numId w:val="6"/>
        </w:numPr>
        <w:jc w:val="both"/>
      </w:pPr>
      <w:r>
        <w:rPr>
          <w:rFonts w:ascii="Times New Roman" w:hAnsi="Times New Roman"/>
          <w:b w:val="false"/>
          <w:bCs w:val="false"/>
          <w:sz w:val="24"/>
          <w:szCs w:val="24"/>
          <w:u w:val="none"/>
        </w:rPr>
        <w:t>В процессе переработки руд необходимо провести технологические исследования на разных по качеству рудах: со средним содержанием меди в целом по месторождению- 0.5-0.55%; на бедных рудах-0,2-0,3%; на забалансовых рудах 0,1-0,2%, а также на богатых рудах 0,7-0,8% меди.</w:t>
      </w:r>
    </w:p>
    <w:p>
      <w:pPr>
        <w:pStyle w:val="style48"/>
        <w:numPr>
          <w:ilvl w:val="0"/>
          <w:numId w:val="6"/>
        </w:numPr>
        <w:jc w:val="both"/>
      </w:pPr>
      <w:r>
        <w:rPr>
          <w:rFonts w:ascii="Times New Roman" w:hAnsi="Times New Roman"/>
          <w:b w:val="false"/>
          <w:bCs w:val="false"/>
          <w:sz w:val="24"/>
          <w:szCs w:val="24"/>
          <w:u w:val="none"/>
        </w:rPr>
        <w:t xml:space="preserve">Разработать регламент обогащения по молибденовой цепочке до получения молибденового промпродукта. </w:t>
      </w:r>
    </w:p>
    <w:p>
      <w:pPr>
        <w:pStyle w:val="style48"/>
        <w:numPr>
          <w:ilvl w:val="0"/>
          <w:numId w:val="6"/>
        </w:numPr>
        <w:jc w:val="both"/>
      </w:pPr>
      <w:r>
        <w:rPr>
          <w:rFonts w:ascii="Times New Roman" w:hAnsi="Times New Roman"/>
          <w:b w:val="false"/>
          <w:bCs w:val="false"/>
          <w:sz w:val="24"/>
          <w:szCs w:val="24"/>
          <w:u w:val="none"/>
        </w:rPr>
        <w:t>В процессе опытно-промышленной добычи, транспортировки руды на фабрику и последующей ее переработки необходимо производить контрольное опробование с анализом проб на медь, молибден, золото и серебро для возможности дальнейшего сопоставления данных разведки и разработки и товарного баланса;</w:t>
      </w:r>
    </w:p>
    <w:p>
      <w:pPr>
        <w:pStyle w:val="style48"/>
        <w:jc w:val="both"/>
      </w:pPr>
      <w:r>
        <w:rPr>
          <w:rFonts w:ascii="Times New Roman" w:hAnsi="Times New Roman"/>
          <w:b w:val="false"/>
          <w:bCs w:val="false"/>
          <w:sz w:val="24"/>
          <w:szCs w:val="24"/>
          <w:u w:val="none"/>
        </w:rPr>
        <w:t>- опробуются все буровзрывные скважины и скважины эксплуатационной разведки;</w:t>
      </w:r>
    </w:p>
    <w:p>
      <w:pPr>
        <w:pStyle w:val="style48"/>
        <w:ind w:hanging="0" w:left="0" w:right="0"/>
        <w:jc w:val="both"/>
      </w:pPr>
      <w:r>
        <w:rPr>
          <w:rFonts w:ascii="Times New Roman" w:hAnsi="Times New Roman"/>
          <w:b w:val="false"/>
          <w:bCs w:val="false"/>
          <w:sz w:val="24"/>
          <w:szCs w:val="24"/>
          <w:u w:val="none"/>
        </w:rPr>
        <w:t xml:space="preserve">           </w:t>
      </w:r>
      <w:r>
        <w:rPr>
          <w:rFonts w:ascii="Times New Roman" w:hAnsi="Times New Roman"/>
          <w:b w:val="false"/>
          <w:bCs w:val="false"/>
          <w:sz w:val="24"/>
          <w:szCs w:val="24"/>
          <w:u w:val="none"/>
        </w:rPr>
        <w:t>- опробуется рудный материал, отправляемый на обогатительную фабрику до отправки и после прибытия на фабрику;</w:t>
      </w:r>
    </w:p>
    <w:p>
      <w:pPr>
        <w:pStyle w:val="style48"/>
        <w:ind w:hanging="0" w:left="0" w:right="0"/>
        <w:jc w:val="both"/>
      </w:pPr>
      <w:r>
        <w:rPr>
          <w:rFonts w:ascii="Times New Roman" w:hAnsi="Times New Roman"/>
          <w:b w:val="false"/>
          <w:bCs w:val="false"/>
          <w:sz w:val="24"/>
          <w:szCs w:val="24"/>
          <w:u w:val="none"/>
        </w:rPr>
        <w:t xml:space="preserve">           </w:t>
      </w:r>
      <w:r>
        <w:rPr>
          <w:rFonts w:ascii="Times New Roman" w:hAnsi="Times New Roman"/>
          <w:b w:val="false"/>
          <w:bCs w:val="false"/>
          <w:sz w:val="24"/>
          <w:szCs w:val="24"/>
          <w:u w:val="none"/>
        </w:rPr>
        <w:t>-  опробуется весь рудный материал, поступаемый на переработку методом кратных отсечек на конвейерной ленте;</w:t>
      </w:r>
    </w:p>
    <w:p>
      <w:pPr>
        <w:pStyle w:val="style48"/>
        <w:ind w:hanging="0" w:left="0" w:right="0"/>
        <w:jc w:val="both"/>
      </w:pPr>
      <w:r>
        <w:rPr>
          <w:rFonts w:ascii="Times New Roman" w:hAnsi="Times New Roman"/>
          <w:b w:val="false"/>
          <w:bCs w:val="false"/>
          <w:sz w:val="24"/>
          <w:szCs w:val="24"/>
          <w:u w:val="none"/>
        </w:rPr>
        <w:t xml:space="preserve">          </w:t>
      </w:r>
      <w:r>
        <w:rPr>
          <w:rFonts w:ascii="Times New Roman" w:hAnsi="Times New Roman"/>
          <w:b w:val="false"/>
          <w:bCs w:val="false"/>
          <w:sz w:val="24"/>
          <w:szCs w:val="24"/>
          <w:u w:val="none"/>
        </w:rPr>
        <w:t>-  опробуются все промежуточные и конечные продукты обогащения-промпродукты, концентраты, хвосты обогащения с выполнением по ним полного спектрального анализа и химических анализов на медь, молибден, золото и серебра. При наличии повышенных содержаний других полезных компонентов по данным спектрального анализа, также выполнить анализы количественными методами;</w:t>
      </w:r>
    </w:p>
    <w:p>
      <w:pPr>
        <w:pStyle w:val="style48"/>
        <w:ind w:hanging="0" w:left="0" w:right="0"/>
        <w:jc w:val="both"/>
      </w:pPr>
      <w:r>
        <w:rPr>
          <w:rFonts w:ascii="Times New Roman" w:hAnsi="Times New Roman"/>
          <w:b w:val="false"/>
          <w:bCs w:val="false"/>
          <w:sz w:val="24"/>
          <w:szCs w:val="24"/>
          <w:u w:val="none"/>
        </w:rPr>
        <w:t xml:space="preserve">           </w:t>
      </w:r>
      <w:r>
        <w:rPr>
          <w:rFonts w:ascii="Times New Roman" w:hAnsi="Times New Roman"/>
          <w:b w:val="false"/>
          <w:bCs w:val="false"/>
          <w:sz w:val="24"/>
          <w:szCs w:val="24"/>
          <w:u w:val="none"/>
        </w:rPr>
        <w:t>-  проводятся технологические испытания на разных по качеству рудах и в разных технологических режимах с определением оптимальных параметров для каждого сорта руд;</w:t>
      </w:r>
    </w:p>
    <w:p>
      <w:pPr>
        <w:pStyle w:val="style48"/>
        <w:ind w:hanging="0" w:left="0" w:right="0"/>
        <w:jc w:val="both"/>
      </w:pPr>
      <w:r>
        <w:rPr>
          <w:rFonts w:ascii="Times New Roman" w:hAnsi="Times New Roman"/>
          <w:b w:val="false"/>
          <w:bCs w:val="false"/>
          <w:sz w:val="24"/>
          <w:szCs w:val="24"/>
          <w:u w:val="none"/>
        </w:rPr>
        <w:t xml:space="preserve">             </w:t>
      </w:r>
      <w:r>
        <w:rPr>
          <w:rFonts w:ascii="Times New Roman" w:hAnsi="Times New Roman"/>
          <w:b w:val="false"/>
          <w:bCs w:val="false"/>
          <w:sz w:val="24"/>
          <w:szCs w:val="24"/>
          <w:u w:val="none"/>
        </w:rPr>
        <w:t>- ввиду наличия неравномерной вкрапленности минералов меди и молибдена с целью недопущения переизмельчения в процессе пробоподготовки в программу дальнейших технологических исследований необходимо включить тестовые испытания скоростной песковой флотации, осуществляемой в промышленности путем установки флотомашин Скимейр в операции шарового измельчения на песках классификации;</w:t>
      </w:r>
    </w:p>
    <w:p>
      <w:pPr>
        <w:pStyle w:val="style48"/>
        <w:ind w:hanging="0" w:left="0" w:right="0"/>
        <w:jc w:val="both"/>
      </w:pPr>
      <w:r>
        <w:rPr>
          <w:rFonts w:ascii="Times New Roman" w:hAnsi="Times New Roman"/>
          <w:b w:val="false"/>
          <w:bCs w:val="false"/>
          <w:sz w:val="24"/>
          <w:szCs w:val="24"/>
          <w:u w:val="none"/>
        </w:rPr>
        <w:t xml:space="preserve">             </w:t>
      </w:r>
      <w:r>
        <w:rPr>
          <w:rFonts w:ascii="Times New Roman" w:hAnsi="Times New Roman"/>
          <w:b w:val="false"/>
          <w:bCs w:val="false"/>
          <w:sz w:val="24"/>
          <w:szCs w:val="24"/>
          <w:u w:val="none"/>
        </w:rPr>
        <w:t>-  после завершения технологических исследований составляется технологический регламент переработки для всех сортов руд (богатые, средние, бедные, забалансовые).</w:t>
      </w:r>
    </w:p>
    <w:p>
      <w:pPr>
        <w:pStyle w:val="style48"/>
        <w:ind w:hanging="0" w:left="0" w:right="0"/>
        <w:jc w:val="both"/>
      </w:pPr>
      <w:r>
        <w:rPr>
          <w:rFonts w:ascii="Times New Roman" w:hAnsi="Times New Roman"/>
          <w:b w:val="false"/>
          <w:bCs w:val="false"/>
          <w:sz w:val="24"/>
          <w:szCs w:val="24"/>
          <w:u w:val="none"/>
        </w:rPr>
        <w:t xml:space="preserve">              </w:t>
      </w:r>
      <w:r>
        <w:rPr>
          <w:rFonts w:ascii="Times New Roman" w:hAnsi="Times New Roman"/>
          <w:b w:val="false"/>
          <w:bCs w:val="false"/>
          <w:sz w:val="24"/>
          <w:szCs w:val="24"/>
          <w:u w:val="none"/>
        </w:rPr>
        <w:t>-   В процессе обогащения молибден-медных руд извлекаемый концентрат должен соответствовать следующим параметрам:</w:t>
      </w:r>
    </w:p>
    <w:p>
      <w:pPr>
        <w:pStyle w:val="style48"/>
        <w:numPr>
          <w:ilvl w:val="0"/>
          <w:numId w:val="7"/>
        </w:numPr>
        <w:jc w:val="both"/>
      </w:pPr>
      <w:r>
        <w:rPr>
          <w:rFonts w:ascii="Times New Roman" w:hAnsi="Times New Roman"/>
          <w:b w:val="false"/>
          <w:bCs w:val="false"/>
          <w:sz w:val="24"/>
          <w:szCs w:val="24"/>
          <w:u w:val="none"/>
        </w:rPr>
        <w:t>Качество концентрата должно быть 25-28 %</w:t>
      </w:r>
    </w:p>
    <w:p>
      <w:pPr>
        <w:pStyle w:val="style48"/>
        <w:numPr>
          <w:ilvl w:val="0"/>
          <w:numId w:val="7"/>
        </w:numPr>
        <w:jc w:val="both"/>
      </w:pPr>
      <w:r>
        <w:rPr>
          <w:rFonts w:ascii="Times New Roman" w:hAnsi="Times New Roman"/>
          <w:b w:val="false"/>
          <w:bCs w:val="false"/>
          <w:sz w:val="24"/>
          <w:szCs w:val="24"/>
          <w:u w:val="none"/>
        </w:rPr>
        <w:t>Извлечение не менее 85-87 %</w:t>
      </w:r>
    </w:p>
    <w:p>
      <w:pPr>
        <w:pStyle w:val="style48"/>
        <w:numPr>
          <w:ilvl w:val="0"/>
          <w:numId w:val="7"/>
        </w:numPr>
        <w:jc w:val="both"/>
      </w:pPr>
      <w:r>
        <w:rPr>
          <w:rFonts w:ascii="Times New Roman" w:hAnsi="Times New Roman"/>
          <w:b w:val="false"/>
          <w:bCs w:val="false"/>
          <w:sz w:val="24"/>
          <w:szCs w:val="24"/>
          <w:u w:val="none"/>
        </w:rPr>
        <w:t>Извлечение молибдена в промпродукте не менее 50 %</w:t>
      </w:r>
    </w:p>
    <w:p>
      <w:pPr>
        <w:pStyle w:val="style48"/>
        <w:numPr>
          <w:ilvl w:val="0"/>
          <w:numId w:val="7"/>
        </w:numPr>
        <w:jc w:val="both"/>
      </w:pPr>
      <w:r>
        <w:rPr>
          <w:rFonts w:ascii="Times New Roman" w:hAnsi="Times New Roman"/>
          <w:b w:val="false"/>
          <w:bCs w:val="false"/>
          <w:sz w:val="24"/>
          <w:szCs w:val="24"/>
          <w:u w:val="none"/>
        </w:rPr>
        <w:t>Содержание золота в концентрате не менее 5г/т</w:t>
      </w:r>
    </w:p>
    <w:p>
      <w:pPr>
        <w:pStyle w:val="style48"/>
        <w:numPr>
          <w:ilvl w:val="0"/>
          <w:numId w:val="7"/>
        </w:numPr>
        <w:jc w:val="both"/>
      </w:pPr>
      <w:r>
        <w:rPr>
          <w:rFonts w:ascii="Times New Roman" w:hAnsi="Times New Roman"/>
          <w:b w:val="false"/>
          <w:bCs w:val="false"/>
          <w:sz w:val="24"/>
          <w:szCs w:val="24"/>
          <w:u w:val="none"/>
        </w:rPr>
        <w:t>Содержание серебра в концентрате не менее 100 г/т</w:t>
      </w:r>
    </w:p>
    <w:p>
      <w:pPr>
        <w:pStyle w:val="style48"/>
        <w:ind w:hanging="0" w:left="973" w:right="0"/>
        <w:jc w:val="center"/>
      </w:pPr>
      <w:r>
        <w:rPr>
          <w:rFonts w:ascii="Times New Roman" w:hAnsi="Times New Roman"/>
          <w:b/>
          <w:sz w:val="28"/>
          <w:szCs w:val="28"/>
        </w:rPr>
        <w:t>Требования к режиму безопасности и гигиене труда</w:t>
      </w:r>
    </w:p>
    <w:p>
      <w:pPr>
        <w:pStyle w:val="style48"/>
        <w:ind w:hanging="0" w:left="973" w:right="0"/>
        <w:jc w:val="both"/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Работы производить в соответствии с СНиП, СанПиН и законами РК  «О санэпид благополучии населения РК», «О промышленной безопасности» и «Трудовой кодекс», ПТЭ и ПТБ электроустановок потребителей, выполнение ЕПБ при разработке месторождений полезных ископаемых открытым способом. Также согласовать с заказчиком «требования к подрядным организациям по обеспечению промышленной безопасности, охраны труда и окружающей среды».</w:t>
      </w:r>
    </w:p>
    <w:p>
      <w:pPr>
        <w:pStyle w:val="style48"/>
        <w:ind w:hanging="0" w:left="973" w:right="0"/>
        <w:jc w:val="both"/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Все рабочие должны быть обучены по специальности и ознакомлены с инструкциями по безопасному ведению работ по специальности, проектом производства работ, планом ликвидации аварий и другими нормативными документами.</w:t>
      </w:r>
    </w:p>
    <w:tbl>
      <w:tblPr>
        <w:jc w:val="left"/>
        <w:tblInd w:type="dxa" w:w="0"/>
        <w:tblBorders>
          <w:top w:val="none"/>
          <w:left w:val="none"/>
          <w:bottom w:val="none"/>
          <w:insideH w:val="none"/>
          <w:right w:val="none"/>
          <w:insideV w:val="non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4774"/>
        <w:gridCol w:w="4793"/>
      </w:tblGrid>
      <w:tr>
        <w:trPr>
          <w:cantSplit w:val="false"/>
        </w:trPr>
        <w:tc>
          <w:tcPr>
            <w:tcW w:type="dxa" w:w="4774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</w:pPr>
            <w:r>
              <w:rPr>
                <w:rFonts w:cs="Times New Roman"/>
                <w:b/>
                <w:sz w:val="24"/>
                <w:szCs w:val="24"/>
              </w:rPr>
              <w:t xml:space="preserve">Товарищество с ограниченной ответственностью «Кызылту», </w:t>
            </w:r>
          </w:p>
          <w:p>
            <w:pPr>
              <w:pStyle w:val="style0"/>
            </w:pPr>
            <w:r>
              <w:rPr>
                <w:rFonts w:cs="Times New Roman"/>
                <w:b/>
                <w:sz w:val="24"/>
                <w:szCs w:val="24"/>
              </w:rPr>
              <w:t>Генеральный директор</w:t>
            </w:r>
          </w:p>
          <w:p>
            <w:pPr>
              <w:pStyle w:val="style0"/>
              <w:widowControl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cs="Times New Roman"/>
                <w:b/>
                <w:sz w:val="24"/>
                <w:szCs w:val="24"/>
              </w:rPr>
              <w:t>_____________ Г.Ф. Ан</w:t>
            </w:r>
          </w:p>
        </w:tc>
        <w:tc>
          <w:tcPr>
            <w:tcW w:type="dxa" w:w="4793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</w:pPr>
            <w:r>
              <w:rPr>
                <w:rFonts w:cs="Times New Roman"/>
                <w:b/>
                <w:sz w:val="24"/>
                <w:szCs w:val="24"/>
              </w:rPr>
              <w:t xml:space="preserve">Товарищество с ограниченной ответственностью </w:t>
            </w:r>
            <w:r>
              <w:rPr>
                <w:rFonts w:cs="Times New Roman" w:eastAsia="Times New Roman"/>
                <w:b/>
                <w:sz w:val="24"/>
                <w:szCs w:val="24"/>
              </w:rPr>
              <w:t xml:space="preserve"> «____________»</w:t>
            </w:r>
          </w:p>
          <w:p>
            <w:pPr>
              <w:pStyle w:val="style0"/>
            </w:pPr>
            <w:r>
              <w:rPr>
                <w:rFonts w:cs="Times New Roman"/>
                <w:b/>
                <w:sz w:val="24"/>
                <w:szCs w:val="24"/>
              </w:rPr>
              <w:t>Директор</w:t>
            </w:r>
          </w:p>
          <w:p>
            <w:pPr>
              <w:pStyle w:val="style0"/>
              <w:widowControl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cs="Times New Roman"/>
                <w:b/>
                <w:sz w:val="24"/>
                <w:szCs w:val="24"/>
              </w:rPr>
              <w:t>_______________</w:t>
            </w:r>
          </w:p>
        </w:tc>
      </w:tr>
    </w:tbl>
    <w:p>
      <w:pPr>
        <w:pStyle w:val="style0"/>
        <w:spacing w:after="200" w:before="0"/>
        <w:contextualSpacing w:val="false"/>
        <w:jc w:val="both"/>
      </w:pPr>
      <w:r>
        <w:rPr/>
      </w:r>
    </w:p>
    <w:sectPr>
      <w:footerReference r:id="rId2" w:type="default"/>
      <w:type w:val="nextPage"/>
      <w:pgSz w:h="16838" w:w="11906"/>
      <w:pgMar w:bottom="1134" w:footer="0" w:gutter="0" w:header="0" w:left="1701" w:right="850" w:top="539"/>
      <w:pgNumType w:fmt="decimal"/>
      <w:formProt w:val="false"/>
      <w:textDirection w:val="lrTb"/>
      <w:docGrid w:charSpace="0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OpenSymbol">
    <w:altName w:val="Arial Unicode MS"/>
    <w:charset w:val="80"/>
    <w:family w:val="auto"/>
    <w:pitch w:val="default"/>
  </w:font>
  <w:font w:name="Arial">
    <w:charset w:val="cc"/>
    <w:family w:val="swiss"/>
    <w:pitch w:val="variable"/>
  </w:font>
  <w:font w:name="Calibri">
    <w:charset w:val="cc"/>
    <w:family w:val="roman"/>
    <w:pitch w:val="variable"/>
  </w:font>
  <w:font w:name="Courier New">
    <w:charset w:val="80"/>
    <w:family w:val="modern"/>
    <w:pitch w:val="fixed"/>
  </w:font>
  <w:font w:name="Wingdings">
    <w:charset w:val="02"/>
    <w:family w:val="auto"/>
    <w:pitch w:val="variable"/>
  </w:font>
  <w:font w:name="OpenSymbol">
    <w:altName w:val="Arial Unicode MS"/>
    <w:charset w:val="80"/>
    <w:family w:val="auto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46"/>
      <w:spacing w:after="200" w:before="0"/>
      <w:ind w:hanging="0" w:left="0" w:right="360"/>
      <w:contextualSpacing w:val="false"/>
      <w:jc w:val="right"/>
    </w:pPr>
    <w:r>
      <w:rPr/>
    </w:r>
  </w:p>
</w:ftr>
</file>

<file path=word/numbering.xml><?xml version="1.0" encoding="utf-8"?>
<w:numbering xmlns:w="http://schemas.openxmlformats.org/wordprocessingml/2006/main">
  <w:abstractNum w:abstractNumId="1">
    <w:lvl w:ilvl="0">
      <w:start w:val="1"/>
      <w:numFmt w:val="bullet"/>
      <w:lvlText w:val=""/>
      <w:lvlJc w:val="left"/>
      <w:pPr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cs="Wingdings" w:hAnsi="Wingdings" w:hint="default"/>
      </w:rPr>
    </w:lvl>
  </w:abstractNum>
  <w:abstractNum w:abstractNumId="2">
    <w:lvl w:ilvl="0">
      <w:start w:val="1"/>
      <w:numFmt w:val="bullet"/>
      <w:lvlText w:val=""/>
      <w:lvlJc w:val="left"/>
      <w:pPr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cs="Wingdings" w:hAnsi="Wingdings" w:hint="default"/>
      </w:rPr>
    </w:lvl>
  </w:abstractNum>
  <w:abstractNum w:abstractNumId="3">
    <w:lvl w:ilvl="0">
      <w:start w:val="1"/>
      <w:numFmt w:val="bullet"/>
      <w:lvlText w:val=""/>
      <w:lvlJc w:val="left"/>
      <w:pPr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cs="Wingdings" w:hAnsi="Wingdings" w:hint="default"/>
      </w:rPr>
    </w:lvl>
  </w:abstractNum>
  <w:abstractNum w:abstractNumId="4">
    <w:lvl w:ilvl="0">
      <w:start w:val="1"/>
      <w:numFmt w:val="bullet"/>
      <w:lvlText w:val=""/>
      <w:lvlJc w:val="left"/>
      <w:pPr>
        <w:ind w:hanging="360" w:left="973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1693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413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3133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853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573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293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6013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733"/>
      </w:pPr>
      <w:rPr>
        <w:rFonts w:ascii="Wingdings" w:cs="Wingdings" w:hAnsi="Wingdings" w:hint="default"/>
      </w:rPr>
    </w:lvl>
  </w:abstractNum>
  <w:abstractNum w:abstractNumId="5">
    <w:lvl w:ilvl="0">
      <w:start w:val="1"/>
      <w:numFmt w:val="bullet"/>
      <w:lvlText w:val=""/>
      <w:lvlJc w:val="left"/>
      <w:pPr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cs="Wingdings" w:hAnsi="Wingdings" w:hint="default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abstractNum w:abstractNumId="7">
    <w:lvl w:ilvl="0">
      <w:start w:val="1"/>
      <w:numFmt w:val="bullet"/>
      <w:lvlText w:val=""/>
      <w:lvlJc w:val="left"/>
      <w:pPr>
        <w:tabs>
          <w:tab w:pos="1020" w:val="num"/>
        </w:tabs>
        <w:ind w:hanging="360" w:left="1020"/>
      </w:pPr>
      <w:rPr>
        <w:rFonts w:ascii="Symbol" w:cs="Symbol" w:hAnsi="Symbol" w:hint="default"/>
      </w:rPr>
    </w:lvl>
    <w:lvl w:ilvl="1">
      <w:start w:val="1"/>
      <w:numFmt w:val="bullet"/>
      <w:lvlText w:val="◦"/>
      <w:lvlJc w:val="left"/>
      <w:pPr>
        <w:tabs>
          <w:tab w:pos="1380" w:val="num"/>
        </w:tabs>
        <w:ind w:hanging="360" w:left="1380"/>
      </w:pPr>
      <w:rPr>
        <w:rFonts w:ascii="OpenSymbol" w:cs="OpenSymbol" w:hAnsi="OpenSymbol" w:hint="default"/>
      </w:rPr>
    </w:lvl>
    <w:lvl w:ilvl="2">
      <w:start w:val="1"/>
      <w:numFmt w:val="bullet"/>
      <w:lvlText w:val="▪"/>
      <w:lvlJc w:val="left"/>
      <w:pPr>
        <w:tabs>
          <w:tab w:pos="1740" w:val="num"/>
        </w:tabs>
        <w:ind w:hanging="360" w:left="1740"/>
      </w:pPr>
      <w:rPr>
        <w:rFonts w:ascii="OpenSymbol" w:cs="OpenSymbol" w:hAnsi="OpenSymbol" w:hint="default"/>
      </w:rPr>
    </w:lvl>
    <w:lvl w:ilvl="3">
      <w:start w:val="1"/>
      <w:numFmt w:val="bullet"/>
      <w:lvlText w:val=""/>
      <w:lvlJc w:val="left"/>
      <w:pPr>
        <w:tabs>
          <w:tab w:pos="2100" w:val="num"/>
        </w:tabs>
        <w:ind w:hanging="360" w:left="2100"/>
      </w:pPr>
      <w:rPr>
        <w:rFonts w:ascii="Symbol" w:cs="Symbol" w:hAnsi="Symbol" w:hint="default"/>
      </w:rPr>
    </w:lvl>
    <w:lvl w:ilvl="4">
      <w:start w:val="1"/>
      <w:numFmt w:val="bullet"/>
      <w:lvlText w:val="◦"/>
      <w:lvlJc w:val="left"/>
      <w:pPr>
        <w:tabs>
          <w:tab w:pos="2460" w:val="num"/>
        </w:tabs>
        <w:ind w:hanging="360" w:left="2460"/>
      </w:pPr>
      <w:rPr>
        <w:rFonts w:ascii="OpenSymbol" w:cs="OpenSymbol" w:hAnsi="OpenSymbol" w:hint="default"/>
      </w:rPr>
    </w:lvl>
    <w:lvl w:ilvl="5">
      <w:start w:val="1"/>
      <w:numFmt w:val="bullet"/>
      <w:lvlText w:val="▪"/>
      <w:lvlJc w:val="left"/>
      <w:pPr>
        <w:tabs>
          <w:tab w:pos="2820" w:val="num"/>
        </w:tabs>
        <w:ind w:hanging="360" w:left="2820"/>
      </w:pPr>
      <w:rPr>
        <w:rFonts w:ascii="OpenSymbol" w:cs="OpenSymbol" w:hAnsi="OpenSymbol" w:hint="default"/>
      </w:rPr>
    </w:lvl>
    <w:lvl w:ilvl="6">
      <w:start w:val="1"/>
      <w:numFmt w:val="bullet"/>
      <w:lvlText w:val=""/>
      <w:lvlJc w:val="left"/>
      <w:pPr>
        <w:tabs>
          <w:tab w:pos="3180" w:val="num"/>
        </w:tabs>
        <w:ind w:hanging="360" w:left="3180"/>
      </w:pPr>
      <w:rPr>
        <w:rFonts w:ascii="Symbol" w:cs="Symbol" w:hAnsi="Symbol" w:hint="default"/>
      </w:rPr>
    </w:lvl>
    <w:lvl w:ilvl="7">
      <w:start w:val="1"/>
      <w:numFmt w:val="bullet"/>
      <w:lvlText w:val="◦"/>
      <w:lvlJc w:val="left"/>
      <w:pPr>
        <w:tabs>
          <w:tab w:pos="3540" w:val="num"/>
        </w:tabs>
        <w:ind w:hanging="360" w:left="3540"/>
      </w:pPr>
      <w:rPr>
        <w:rFonts w:ascii="OpenSymbol" w:cs="OpenSymbol" w:hAnsi="OpenSymbol" w:hint="default"/>
      </w:rPr>
    </w:lvl>
    <w:lvl w:ilvl="8">
      <w:start w:val="1"/>
      <w:numFmt w:val="bullet"/>
      <w:lvlText w:val="▪"/>
      <w:lvlJc w:val="left"/>
      <w:pPr>
        <w:tabs>
          <w:tab w:pos="3900" w:val="num"/>
        </w:tabs>
        <w:ind w:hanging="360" w:left="3900"/>
      </w:pPr>
      <w:rPr>
        <w:rFonts w:ascii="OpenSymbol" w:cs="OpenSymbol" w:hAnsi="OpenSymbol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pos="840" w:val="num"/>
        </w:tabs>
        <w:ind w:hanging="360" w:left="840"/>
      </w:pPr>
      <w:rPr>
        <w:rFonts w:ascii="Symbol" w:cs="Symbol" w:hAnsi="Symbol" w:hint="default"/>
      </w:rPr>
    </w:lvl>
    <w:lvl w:ilvl="1">
      <w:start w:val="1"/>
      <w:numFmt w:val="bullet"/>
      <w:lvlText w:val="◦"/>
      <w:lvlJc w:val="left"/>
      <w:pPr>
        <w:tabs>
          <w:tab w:pos="1200" w:val="num"/>
        </w:tabs>
        <w:ind w:hanging="360" w:left="1200"/>
      </w:pPr>
      <w:rPr>
        <w:rFonts w:ascii="OpenSymbol" w:cs="OpenSymbol" w:hAnsi="OpenSymbol" w:hint="default"/>
      </w:rPr>
    </w:lvl>
    <w:lvl w:ilvl="2">
      <w:start w:val="1"/>
      <w:numFmt w:val="bullet"/>
      <w:lvlText w:val="▪"/>
      <w:lvlJc w:val="left"/>
      <w:pPr>
        <w:tabs>
          <w:tab w:pos="1560" w:val="num"/>
        </w:tabs>
        <w:ind w:hanging="360" w:left="1560"/>
      </w:pPr>
      <w:rPr>
        <w:rFonts w:ascii="OpenSymbol" w:cs="OpenSymbol" w:hAnsi="OpenSymbol" w:hint="default"/>
      </w:rPr>
    </w:lvl>
    <w:lvl w:ilvl="3">
      <w:start w:val="1"/>
      <w:numFmt w:val="bullet"/>
      <w:lvlText w:val=""/>
      <w:lvlJc w:val="left"/>
      <w:pPr>
        <w:tabs>
          <w:tab w:pos="1920" w:val="num"/>
        </w:tabs>
        <w:ind w:hanging="360" w:left="1920"/>
      </w:pPr>
      <w:rPr>
        <w:rFonts w:ascii="Symbol" w:cs="Symbol" w:hAnsi="Symbol" w:hint="default"/>
      </w:rPr>
    </w:lvl>
    <w:lvl w:ilvl="4">
      <w:start w:val="1"/>
      <w:numFmt w:val="bullet"/>
      <w:lvlText w:val="◦"/>
      <w:lvlJc w:val="left"/>
      <w:pPr>
        <w:tabs>
          <w:tab w:pos="2280" w:val="num"/>
        </w:tabs>
        <w:ind w:hanging="360" w:left="2280"/>
      </w:pPr>
      <w:rPr>
        <w:rFonts w:ascii="OpenSymbol" w:cs="OpenSymbol" w:hAnsi="OpenSymbol" w:hint="default"/>
      </w:rPr>
    </w:lvl>
    <w:lvl w:ilvl="5">
      <w:start w:val="1"/>
      <w:numFmt w:val="bullet"/>
      <w:lvlText w:val="▪"/>
      <w:lvlJc w:val="left"/>
      <w:pPr>
        <w:tabs>
          <w:tab w:pos="2640" w:val="num"/>
        </w:tabs>
        <w:ind w:hanging="360" w:left="2640"/>
      </w:pPr>
      <w:rPr>
        <w:rFonts w:ascii="OpenSymbol" w:cs="OpenSymbol" w:hAnsi="OpenSymbol" w:hint="default"/>
      </w:rPr>
    </w:lvl>
    <w:lvl w:ilvl="6">
      <w:start w:val="1"/>
      <w:numFmt w:val="bullet"/>
      <w:lvlText w:val=""/>
      <w:lvlJc w:val="left"/>
      <w:pPr>
        <w:tabs>
          <w:tab w:pos="3000" w:val="num"/>
        </w:tabs>
        <w:ind w:hanging="360" w:left="3000"/>
      </w:pPr>
      <w:rPr>
        <w:rFonts w:ascii="Symbol" w:cs="Symbol" w:hAnsi="Symbol" w:hint="default"/>
      </w:rPr>
    </w:lvl>
    <w:lvl w:ilvl="7">
      <w:start w:val="1"/>
      <w:numFmt w:val="bullet"/>
      <w:lvlText w:val="◦"/>
      <w:lvlJc w:val="left"/>
      <w:pPr>
        <w:tabs>
          <w:tab w:pos="3360" w:val="num"/>
        </w:tabs>
        <w:ind w:hanging="360" w:left="3360"/>
      </w:pPr>
      <w:rPr>
        <w:rFonts w:ascii="OpenSymbol" w:cs="OpenSymbol" w:hAnsi="OpenSymbol" w:hint="default"/>
      </w:rPr>
    </w:lvl>
    <w:lvl w:ilvl="8">
      <w:start w:val="1"/>
      <w:numFmt w:val="bullet"/>
      <w:lvlText w:val="▪"/>
      <w:lvlJc w:val="left"/>
      <w:pPr>
        <w:tabs>
          <w:tab w:pos="3720" w:val="num"/>
        </w:tabs>
        <w:ind w:hanging="360" w:left="3720"/>
      </w:pPr>
      <w:rPr>
        <w:rFonts w:ascii="OpenSymbol" w:cs="OpenSymbol" w:hAnsi="OpenSymbol" w:hint="default"/>
      </w:rPr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Times New Roman" w:cs="Times New Roman" w:eastAsia="Times New Roman" w:hAnsi="Times New Roman"/>
      <w:color w:val="00000A"/>
      <w:sz w:val="24"/>
      <w:szCs w:val="24"/>
      <w:lang w:bidi="ar-SA" w:eastAsia="ru-RU" w:val="ru-RU"/>
    </w:rPr>
  </w:style>
  <w:style w:styleId="style1" w:type="paragraph">
    <w:name w:val="Заголовок 1"/>
    <w:basedOn w:val="style0"/>
    <w:next w:val="style1"/>
    <w:pPr>
      <w:keepNext/>
      <w:keepLines/>
      <w:spacing w:after="0" w:before="480"/>
      <w:contextualSpacing w:val="false"/>
    </w:pPr>
    <w:rPr>
      <w:rFonts w:ascii="Cambria" w:cs="" w:hAnsi="Cambria"/>
      <w:b/>
      <w:bCs/>
      <w:color w:val="365F91"/>
      <w:sz w:val="28"/>
      <w:szCs w:val="28"/>
    </w:rPr>
  </w:style>
  <w:style w:styleId="style2" w:type="paragraph">
    <w:name w:val="Заголовок 2"/>
    <w:basedOn w:val="style0"/>
    <w:next w:val="style2"/>
    <w:pPr>
      <w:keepNext/>
      <w:widowControl w:val="false"/>
    </w:pPr>
    <w:rPr>
      <w:sz w:val="28"/>
      <w:szCs w:val="20"/>
    </w:rPr>
  </w:style>
  <w:style w:styleId="style15" w:type="character">
    <w:name w:val="Default Paragraph Font"/>
    <w:next w:val="style15"/>
    <w:rPr/>
  </w:style>
  <w:style w:styleId="style16" w:type="character">
    <w:name w:val="Заголовок 2 Знак"/>
    <w:basedOn w:val="style15"/>
    <w:next w:val="style16"/>
    <w:rPr>
      <w:rFonts w:ascii="Times New Roman" w:cs="Times New Roman" w:eastAsia="Times New Roman" w:hAnsi="Times New Roman"/>
      <w:sz w:val="28"/>
      <w:szCs w:val="20"/>
      <w:lang w:eastAsia="ru-RU"/>
    </w:rPr>
  </w:style>
  <w:style w:styleId="style17" w:type="character">
    <w:name w:val="page number"/>
    <w:basedOn w:val="style15"/>
    <w:next w:val="style17"/>
    <w:rPr/>
  </w:style>
  <w:style w:styleId="style18" w:type="character">
    <w:name w:val="s1"/>
    <w:next w:val="style18"/>
    <w:rPr>
      <w:rFonts w:ascii="Times New Roman" w:cs="Times New Roman" w:hAnsi="Times New Roman"/>
      <w:b/>
      <w:bCs/>
      <w:i w:val="false"/>
      <w:iCs w:val="false"/>
      <w:strike w:val="false"/>
      <w:dstrike w:val="false"/>
      <w:color w:val="000000"/>
      <w:sz w:val="20"/>
      <w:szCs w:val="20"/>
      <w:u w:val="none"/>
      <w:effect w:val="none"/>
    </w:rPr>
  </w:style>
  <w:style w:styleId="style19" w:type="character">
    <w:name w:val="annotation reference"/>
    <w:next w:val="style19"/>
    <w:rPr>
      <w:sz w:val="16"/>
      <w:szCs w:val="16"/>
    </w:rPr>
  </w:style>
  <w:style w:styleId="style20" w:type="character">
    <w:name w:val="Нижний колонтитул Знак"/>
    <w:basedOn w:val="style15"/>
    <w:next w:val="style20"/>
    <w:rPr>
      <w:rFonts w:ascii="Times New Roman" w:cs="Times New Roman" w:eastAsia="Times New Roman" w:hAnsi="Times New Roman"/>
      <w:sz w:val="24"/>
      <w:szCs w:val="24"/>
      <w:lang w:eastAsia="ru-RU"/>
    </w:rPr>
  </w:style>
  <w:style w:styleId="style21" w:type="character">
    <w:name w:val="Стандартный HTML Знак"/>
    <w:basedOn w:val="style15"/>
    <w:next w:val="style21"/>
    <w:rPr>
      <w:rFonts w:ascii="Courier New" w:cs="Times New Roman" w:eastAsia="Courier New" w:hAnsi="Courier New"/>
      <w:color w:val="000000"/>
      <w:lang w:eastAsia="ru-RU"/>
    </w:rPr>
  </w:style>
  <w:style w:styleId="style22" w:type="character">
    <w:name w:val="Текст примечания Знак"/>
    <w:basedOn w:val="style15"/>
    <w:next w:val="style22"/>
    <w:rPr>
      <w:rFonts w:ascii="Times New Roman" w:cs="Times New Roman" w:eastAsia="Times New Roman" w:hAnsi="Times New Roman"/>
      <w:sz w:val="20"/>
      <w:szCs w:val="20"/>
      <w:lang w:val="en-GB"/>
    </w:rPr>
  </w:style>
  <w:style w:styleId="style23" w:type="character">
    <w:name w:val="Текст выноски Знак"/>
    <w:basedOn w:val="style15"/>
    <w:next w:val="style23"/>
    <w:rPr>
      <w:rFonts w:ascii="Tahoma" w:cs="" w:hAnsi="Tahoma"/>
      <w:sz w:val="16"/>
      <w:szCs w:val="16"/>
      <w:lang w:eastAsia="ru-RU"/>
    </w:rPr>
  </w:style>
  <w:style w:styleId="style24" w:type="character">
    <w:name w:val="Верхний колонтитул Знак"/>
    <w:basedOn w:val="style15"/>
    <w:next w:val="style24"/>
    <w:rPr>
      <w:rFonts w:cs=""/>
      <w:lang w:eastAsia="ru-RU"/>
    </w:rPr>
  </w:style>
  <w:style w:styleId="style25" w:type="character">
    <w:name w:val="Заголовок 1 Знак"/>
    <w:basedOn w:val="style15"/>
    <w:next w:val="style25"/>
    <w:rPr>
      <w:rFonts w:ascii="Cambria" w:cs="" w:hAnsi="Cambria"/>
      <w:b/>
      <w:bCs/>
      <w:color w:val="365F91"/>
      <w:sz w:val="28"/>
      <w:szCs w:val="28"/>
      <w:lang w:eastAsia="ru-RU"/>
    </w:rPr>
  </w:style>
  <w:style w:styleId="style26" w:type="character">
    <w:name w:val="ListLabel 1"/>
    <w:next w:val="style26"/>
    <w:rPr>
      <w:b/>
      <w:i w:val="false"/>
    </w:rPr>
  </w:style>
  <w:style w:styleId="style27" w:type="character">
    <w:name w:val="ListLabel 2"/>
    <w:next w:val="style27"/>
    <w:rPr>
      <w:rFonts w:cs="Courier New"/>
    </w:rPr>
  </w:style>
  <w:style w:styleId="style28" w:type="character">
    <w:name w:val="Маркеры списка"/>
    <w:next w:val="style28"/>
    <w:rPr>
      <w:rFonts w:ascii="OpenSymbol" w:cs="OpenSymbol" w:eastAsia="OpenSymbol" w:hAnsi="OpenSymbol"/>
    </w:rPr>
  </w:style>
  <w:style w:styleId="style29" w:type="character">
    <w:name w:val="ListLabel 3"/>
    <w:next w:val="style29"/>
    <w:rPr>
      <w:rFonts w:cs="Symbol"/>
    </w:rPr>
  </w:style>
  <w:style w:styleId="style30" w:type="character">
    <w:name w:val="ListLabel 4"/>
    <w:next w:val="style30"/>
    <w:rPr>
      <w:rFonts w:cs="Courier New"/>
    </w:rPr>
  </w:style>
  <w:style w:styleId="style31" w:type="character">
    <w:name w:val="ListLabel 5"/>
    <w:next w:val="style31"/>
    <w:rPr>
      <w:rFonts w:cs="Wingdings"/>
    </w:rPr>
  </w:style>
  <w:style w:styleId="style32" w:type="character">
    <w:name w:val="ListLabel 6"/>
    <w:next w:val="style32"/>
    <w:rPr>
      <w:rFonts w:cs="OpenSymbol"/>
    </w:rPr>
  </w:style>
  <w:style w:styleId="style33" w:type="character">
    <w:name w:val="ListLabel 7"/>
    <w:next w:val="style33"/>
    <w:rPr>
      <w:rFonts w:cs="Symbol"/>
    </w:rPr>
  </w:style>
  <w:style w:styleId="style34" w:type="character">
    <w:name w:val="ListLabel 8"/>
    <w:next w:val="style34"/>
    <w:rPr>
      <w:rFonts w:cs="Courier New"/>
    </w:rPr>
  </w:style>
  <w:style w:styleId="style35" w:type="character">
    <w:name w:val="ListLabel 9"/>
    <w:next w:val="style35"/>
    <w:rPr>
      <w:rFonts w:cs="Wingdings"/>
    </w:rPr>
  </w:style>
  <w:style w:styleId="style36" w:type="character">
    <w:name w:val="ListLabel 10"/>
    <w:next w:val="style36"/>
    <w:rPr>
      <w:rFonts w:cs="OpenSymbol"/>
    </w:rPr>
  </w:style>
  <w:style w:styleId="style37" w:type="character">
    <w:name w:val="ListLabel 11"/>
    <w:next w:val="style37"/>
    <w:rPr>
      <w:rFonts w:cs="Symbol"/>
    </w:rPr>
  </w:style>
  <w:style w:styleId="style38" w:type="character">
    <w:name w:val="ListLabel 12"/>
    <w:next w:val="style38"/>
    <w:rPr>
      <w:rFonts w:cs="Courier New"/>
    </w:rPr>
  </w:style>
  <w:style w:styleId="style39" w:type="character">
    <w:name w:val="ListLabel 13"/>
    <w:next w:val="style39"/>
    <w:rPr>
      <w:rFonts w:cs="Wingdings"/>
    </w:rPr>
  </w:style>
  <w:style w:styleId="style40" w:type="character">
    <w:name w:val="ListLabel 14"/>
    <w:next w:val="style40"/>
    <w:rPr>
      <w:rFonts w:cs="OpenSymbol"/>
    </w:rPr>
  </w:style>
  <w:style w:styleId="style41" w:type="paragraph">
    <w:name w:val="Заголовок"/>
    <w:basedOn w:val="style0"/>
    <w:next w:val="style42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42" w:type="paragraph">
    <w:name w:val="Основной текст"/>
    <w:basedOn w:val="style0"/>
    <w:next w:val="style42"/>
    <w:pPr>
      <w:spacing w:after="120" w:before="0"/>
      <w:contextualSpacing w:val="false"/>
    </w:pPr>
    <w:rPr/>
  </w:style>
  <w:style w:styleId="style43" w:type="paragraph">
    <w:name w:val="Список"/>
    <w:basedOn w:val="style42"/>
    <w:next w:val="style43"/>
    <w:pPr/>
    <w:rPr>
      <w:rFonts w:cs="Mangal"/>
    </w:rPr>
  </w:style>
  <w:style w:styleId="style44" w:type="paragraph">
    <w:name w:val="Название"/>
    <w:basedOn w:val="style0"/>
    <w:next w:val="style44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45" w:type="paragraph">
    <w:name w:val="Указатель"/>
    <w:basedOn w:val="style0"/>
    <w:next w:val="style45"/>
    <w:pPr>
      <w:suppressLineNumbers/>
    </w:pPr>
    <w:rPr>
      <w:rFonts w:cs="Mangal"/>
    </w:rPr>
  </w:style>
  <w:style w:styleId="style46" w:type="paragraph">
    <w:name w:val="Нижний колонтитул"/>
    <w:basedOn w:val="style0"/>
    <w:next w:val="style46"/>
    <w:pPr>
      <w:tabs>
        <w:tab w:leader="none" w:pos="4677" w:val="center"/>
        <w:tab w:leader="none" w:pos="9355" w:val="right"/>
      </w:tabs>
    </w:pPr>
    <w:rPr/>
  </w:style>
  <w:style w:styleId="style47" w:type="paragraph">
    <w:name w:val="Основной текст с отступом 21"/>
    <w:basedOn w:val="style0"/>
    <w:next w:val="style47"/>
    <w:pPr>
      <w:widowControl w:val="false"/>
      <w:ind w:firstLine="360" w:left="0" w:right="0"/>
    </w:pPr>
    <w:rPr>
      <w:sz w:val="28"/>
      <w:szCs w:val="20"/>
    </w:rPr>
  </w:style>
  <w:style w:styleId="style48" w:type="paragraph">
    <w:name w:val="List Paragraph"/>
    <w:basedOn w:val="style0"/>
    <w:next w:val="style48"/>
    <w:pPr>
      <w:ind w:hanging="0" w:left="720" w:right="0"/>
    </w:pPr>
    <w:rPr>
      <w:rFonts w:ascii="Calibri" w:eastAsia="Calibri" w:hAnsi="Calibri"/>
      <w:sz w:val="22"/>
      <w:szCs w:val="22"/>
    </w:rPr>
  </w:style>
  <w:style w:styleId="style49" w:type="paragraph">
    <w:name w:val="HTML Preformatted"/>
    <w:basedOn w:val="style0"/>
    <w:next w:val="style49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</w:pPr>
    <w:rPr>
      <w:rFonts w:ascii="Courier New" w:eastAsia="Courier New" w:hAnsi="Courier New"/>
      <w:color w:val="000000"/>
      <w:sz w:val="22"/>
      <w:szCs w:val="22"/>
    </w:rPr>
  </w:style>
  <w:style w:styleId="style50" w:type="paragraph">
    <w:name w:val="annotation text"/>
    <w:basedOn w:val="style0"/>
    <w:next w:val="style50"/>
    <w:pPr>
      <w:spacing w:line="240" w:lineRule="atLeast"/>
      <w:jc w:val="both"/>
    </w:pPr>
    <w:rPr>
      <w:sz w:val="20"/>
      <w:szCs w:val="20"/>
      <w:lang w:eastAsia="en-US" w:val="en-GB"/>
    </w:rPr>
  </w:style>
  <w:style w:styleId="style51" w:type="paragraph">
    <w:name w:val="No Spacing"/>
    <w:next w:val="style51"/>
    <w:pPr>
      <w:widowControl/>
      <w:suppressAutoHyphens w:val="true"/>
      <w:spacing w:after="200" w:before="0" w:line="276" w:lineRule="auto"/>
      <w:contextualSpacing w:val="false"/>
    </w:pPr>
    <w:rPr>
      <w:rFonts w:ascii="Calibri" w:cs="Times New Roman" w:eastAsia="Calibri" w:hAnsi="Calibri"/>
      <w:color w:val="00000A"/>
      <w:sz w:val="22"/>
      <w:szCs w:val="22"/>
      <w:lang w:bidi="ar-SA" w:eastAsia="ru-RU" w:val="en-US"/>
    </w:rPr>
  </w:style>
  <w:style w:styleId="style52" w:type="paragraph">
    <w:name w:val="Balloon Text"/>
    <w:basedOn w:val="style0"/>
    <w:next w:val="style52"/>
    <w:pPr>
      <w:spacing w:after="0" w:before="0" w:line="100" w:lineRule="atLeast"/>
      <w:contextualSpacing w:val="false"/>
    </w:pPr>
    <w:rPr>
      <w:rFonts w:ascii="Tahoma" w:cs="Tahoma" w:hAnsi="Tahoma"/>
      <w:sz w:val="16"/>
      <w:szCs w:val="16"/>
    </w:rPr>
  </w:style>
  <w:style w:styleId="style53" w:type="paragraph">
    <w:name w:val="Верхний колонтитул"/>
    <w:basedOn w:val="style0"/>
    <w:next w:val="style53"/>
    <w:pPr>
      <w:tabs>
        <w:tab w:leader="none" w:pos="4677" w:val="center"/>
        <w:tab w:leader="none" w:pos="9355" w:val="right"/>
      </w:tabs>
      <w:spacing w:after="0" w:before="0" w:line="100" w:lineRule="atLeast"/>
      <w:contextualSpacing w:val="false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2015-10-29T03:35:00.00Z</dcterms:created>
  <dc:creator>Нагаев Мереке</dc:creator>
  <cp:lastModifiedBy>Костюченко Светлана</cp:lastModifiedBy>
  <cp:lastPrinted>2015-11-04T06:52:00.00Z</cp:lastPrinted>
  <dcterms:modified xsi:type="dcterms:W3CDTF">2015-11-04T06:57:00.00Z</dcterms:modified>
  <cp:revision>40</cp:revision>
</cp:coreProperties>
</file>